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эффективности реализации муниципальной программы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b/>
          <w:sz w:val="24"/>
          <w:szCs w:val="24"/>
        </w:rPr>
        <w:t xml:space="preserve"> на 2015 – 2020 годы за 2018 год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Анализ фактических и плановых значений целевых показателей (индикаторов) результативности муниципальной программы</w:t>
      </w:r>
    </w:p>
    <w:p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</w:p>
    <w:p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(по форме 1, установленной постановлением №707)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достижении значений целевых показателей (индикаторов) результативности муниципальной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 за 2018 год</w:t>
      </w: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1</w:t>
      </w:r>
    </w:p>
    <w:tbl>
      <w:tblPr>
        <w:tblStyle w:val="a3"/>
        <w:tblW w:w="0" w:type="auto"/>
        <w:tblLayout w:type="fixed"/>
        <w:tblLook w:val="04A0"/>
      </w:tblPr>
      <w:tblGrid>
        <w:gridCol w:w="540"/>
        <w:gridCol w:w="4246"/>
        <w:gridCol w:w="1843"/>
        <w:gridCol w:w="1843"/>
        <w:gridCol w:w="1275"/>
        <w:gridCol w:w="1276"/>
        <w:gridCol w:w="1559"/>
        <w:gridCol w:w="2660"/>
      </w:tblGrid>
      <w:tr>
        <w:tc>
          <w:tcPr>
            <w:tcW w:w="540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46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843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953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660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>
        <w:tc>
          <w:tcPr>
            <w:tcW w:w="54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реализации, предшествующий отчетному</w:t>
            </w:r>
          </w:p>
        </w:tc>
        <w:tc>
          <w:tcPr>
            <w:tcW w:w="4110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266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достижения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(факт/план)</w:t>
            </w:r>
          </w:p>
        </w:tc>
        <w:tc>
          <w:tcPr>
            <w:tcW w:w="266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7=6/5</w:t>
            </w:r>
          </w:p>
        </w:tc>
        <w:tc>
          <w:tcPr>
            <w:tcW w:w="2660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расходов бюджета, сформированных в рамках муниципальных программ, не менее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93,2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91,0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93,0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1,03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 налоговых и неналоговых доходов в сравнении с предыдущим годом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97,4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114,0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1,14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tcBorders>
              <w:bottom w:val="single" w:sz="4" w:space="0" w:color="000000" w:themeColor="text1"/>
            </w:tcBorders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Средняя балльная оценка ГРБС по методике оценки финансового менеджмента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59,5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55,0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54,4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0,99</w:t>
            </w:r>
          </w:p>
        </w:tc>
        <w:tc>
          <w:tcPr>
            <w:tcW w:w="2660" w:type="dxa"/>
            <w:tcBorders>
              <w:bottom w:val="single" w:sz="4" w:space="0" w:color="000000" w:themeColor="text1"/>
            </w:tcBorders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6" w:type="dxa"/>
            <w:shd w:val="clear" w:color="auto" w:fill="CCC0D9" w:themeFill="accent4" w:themeFillTint="66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задачи 1</w:t>
            </w:r>
          </w:p>
        </w:tc>
        <w:tc>
          <w:tcPr>
            <w:tcW w:w="1843" w:type="dxa"/>
            <w:shd w:val="clear" w:color="auto" w:fill="CCC0D9" w:themeFill="accent4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CCC0D9" w:themeFill="accent4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CC0D9" w:themeFill="accent4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CC0D9" w:themeFill="accent4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CCC0D9" w:themeFill="accent4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CCC0D9" w:themeFill="accent4" w:themeFillTint="66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 задачи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задолженности по арендным платежам (без учета пеней) в общем объеме поступлений  по арендным платежам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9,4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9,4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Оценка достижения получена делением планового значения на 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фактическое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>, т.к. данный показатель характеризуется положительно при минимальном значении.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 задачи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заседаний Комиссии по мобилизации доходов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24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7=6/5</w:t>
            </w:r>
          </w:p>
        </w:tc>
        <w:tc>
          <w:tcPr>
            <w:tcW w:w="2660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 задачи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приглашенных на Комиссию должников (неплательщиков)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1,04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4 задачи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муниципальных учреждений, выполнивших муниципальное задание в полном объеме и с заданными показателями качества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tcBorders>
              <w:bottom w:val="single" w:sz="4" w:space="0" w:color="000000" w:themeColor="text1"/>
            </w:tcBorders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5 задачи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10,3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24,3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2,36</w:t>
            </w:r>
          </w:p>
        </w:tc>
        <w:tc>
          <w:tcPr>
            <w:tcW w:w="2660" w:type="dxa"/>
            <w:tcBorders>
              <w:bottom w:val="single" w:sz="4" w:space="0" w:color="000000" w:themeColor="text1"/>
            </w:tcBorders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rPr>
          <w:trHeight w:val="273"/>
        </w:trP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6" w:type="dxa"/>
            <w:shd w:val="clear" w:color="auto" w:fill="CCC0D9" w:themeFill="accent4" w:themeFillTint="66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задачи 2</w:t>
            </w:r>
          </w:p>
        </w:tc>
        <w:tc>
          <w:tcPr>
            <w:tcW w:w="1843" w:type="dxa"/>
            <w:shd w:val="clear" w:color="auto" w:fill="CCC0D9" w:themeFill="accent4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CCC0D9" w:themeFill="accent4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CC0D9" w:themeFill="accent4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CC0D9" w:themeFill="accent4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CCC0D9" w:themeFill="accent4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CCC0D9" w:themeFill="accent4" w:themeFillTint="66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 задачи 2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установленных обновлений на бухгалтерских и финансовых системах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1,08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 задачи 2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АРМ, подключенных к общим информационным системам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tcBorders>
              <w:bottom w:val="single" w:sz="4" w:space="0" w:color="000000" w:themeColor="text1"/>
            </w:tcBorders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 задачи2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учреждений, допустивших несвоевременное обновление информации на сайте bus.gov.ru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2660" w:type="dxa"/>
            <w:tcBorders>
              <w:bottom w:val="single" w:sz="4" w:space="0" w:color="000000" w:themeColor="text1"/>
            </w:tcBorders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достижения получена делением планового значения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фактическое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т.к. данный показатель характеризуется положительно при минимальном значении.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6" w:type="dxa"/>
            <w:shd w:val="clear" w:color="auto" w:fill="CCC0D9" w:themeFill="accent4" w:themeFillTint="66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задачи 3</w:t>
            </w:r>
          </w:p>
        </w:tc>
        <w:tc>
          <w:tcPr>
            <w:tcW w:w="1843" w:type="dxa"/>
            <w:shd w:val="clear" w:color="auto" w:fill="CCC0D9" w:themeFill="accent4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CCC0D9" w:themeFill="accent4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CC0D9" w:themeFill="accent4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CCC0D9" w:themeFill="accent4" w:themeFillTint="66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 задачи 3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стоимости прямого долга к уровню ключевой ставки Банка России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1,22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1,99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достижения получена делением планового значения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фактическое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т.к. данный показатель характеризуется положительно при минимальном значении.</w:t>
            </w:r>
          </w:p>
        </w:tc>
      </w:tr>
      <w:tr>
        <w:trPr>
          <w:trHeight w:val="895"/>
        </w:trP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 задачи 3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просроченных долговых обязательств в объеме долга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24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7=6/5</w:t>
            </w:r>
          </w:p>
        </w:tc>
        <w:tc>
          <w:tcPr>
            <w:tcW w:w="2660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 задачи 3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объема краткосрочного долга к доходам бюджета ЗАТО Северск без учета безвозмездных поступлений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4,59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1,96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достижения получена делением планового значения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фактическое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т.к. данный показатель характеризуется положительно при минимальном значении.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4 задачи 3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суммы остатков на едином счете бюджета к общей сумме расходов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1,75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1,72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достижения получена делением планового значения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фактическое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т.к. данный показатель характеризуется положительно при минимальном значении.</w:t>
            </w:r>
          </w:p>
        </w:tc>
      </w:tr>
    </w:tbl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Примечание: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0"/>
          <w:szCs w:val="10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1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программных расходов составляет 3 968 284,60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расходов составляет 4 266 434,75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Отношение:  3 968 284,60 / 4 266 434,75 = 93,0%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2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налоговых и неналоговых доходов 2017 года составляет 956 640,13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уб. 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налоговых и неналоговых доходов 2017 года за вычетом доп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орматива по НДФЛ (8,79%) составляет 802 130,56 тыс.руб. 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налоговых и неналоговых 2018 года составляет 1 100 171,83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налоговых и неналоговых доходов 2018 года за вычетом доп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орматива по НДФЛ (10,18%) составляет 912 806,45 тыс.руб. 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Темп роста:  912 806,45 / 802 130,56 = 114%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highlight w:val="yellow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1.1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Задолженность по арендным платежам (без учета безнадежных к взысканию, отсроченных платежей и пеней) на 01.01.2019 составляет 7 569,00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поступлений по арендным платежам составляет 80 797,78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Доля задолженности в объеме поступлений:  7 569,00 / 80 797,78 = 9,4%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highlight w:val="yellow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1.4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муниципальных учреждений, выполнивших МЗ в полном объеме и с заданными показателями качества составляет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48; 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Общее количество муниципальных учреждений, выполняющих МЗ, составляет 63;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Доля: 48 / 63 = 76,2%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highlight w:val="yellow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Расчет целевого показателя 1.5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Доля объема средств </w:t>
      </w:r>
      <w:proofErr w:type="gramStart"/>
      <w:r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Северск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охваченных контрольными мероприятиями, в общем объеме бюджетных ассигнований составляет 24,3% (данные Контрольно-ревизионного комитета от 13.02.2019 № 27-01-13/19 и акта выездной проверки УФК от 27.04.2018). 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2.3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муниципальных учреждений, размещающих информацию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bus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составляет 63; 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Количество муниципальных учреждений, допустивших несвоевременное размещение информации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bus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составляет 15;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Доля: 15 / 63 = 24%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3.1</w:t>
      </w:r>
    </w:p>
    <w:tbl>
      <w:tblPr>
        <w:tblStyle w:val="a3"/>
        <w:tblpPr w:leftFromText="180" w:rightFromText="180" w:vertAnchor="text" w:horzAnchor="page" w:tblpX="1921" w:tblpY="171"/>
        <w:tblW w:w="0" w:type="auto"/>
        <w:tblLook w:val="04A0"/>
      </w:tblPr>
      <w:tblGrid>
        <w:gridCol w:w="3794"/>
        <w:gridCol w:w="1779"/>
        <w:gridCol w:w="1560"/>
        <w:gridCol w:w="2268"/>
        <w:gridCol w:w="1578"/>
      </w:tblGrid>
      <w:tr>
        <w:tc>
          <w:tcPr>
            <w:tcW w:w="379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кредита, на которую начислялись и выплачивались %,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по кредиту, %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уплачено за пользование кредитом в 2018 году,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выплаченной ставки, %</w:t>
            </w:r>
          </w:p>
        </w:tc>
      </w:tr>
      <w:tr>
        <w:tc>
          <w:tcPr>
            <w:tcW w:w="379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Коммерческий кредит 2017 года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81 517,85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9,04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5 416,85</w:t>
            </w:r>
          </w:p>
        </w:tc>
        <w:tc>
          <w:tcPr>
            <w:tcW w:w="157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6,64</w:t>
            </w:r>
          </w:p>
        </w:tc>
      </w:tr>
      <w:tr>
        <w:tc>
          <w:tcPr>
            <w:tcW w:w="379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Бюджетный кредит 2015 года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17 500,00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401,70</w:t>
            </w:r>
          </w:p>
        </w:tc>
        <w:tc>
          <w:tcPr>
            <w:tcW w:w="157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</w:tr>
      <w:tr>
        <w:tc>
          <w:tcPr>
            <w:tcW w:w="379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Бюджетный кредит 2016 года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29 900,00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2 600,02</w:t>
            </w:r>
          </w:p>
        </w:tc>
        <w:tc>
          <w:tcPr>
            <w:tcW w:w="157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8,70</w:t>
            </w:r>
          </w:p>
        </w:tc>
      </w:tr>
      <w:tr>
        <w:tc>
          <w:tcPr>
            <w:tcW w:w="379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Бюджетный кредит 2018 года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92 780,12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256,10</w:t>
            </w:r>
          </w:p>
        </w:tc>
        <w:tc>
          <w:tcPr>
            <w:tcW w:w="157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Средняя стоимость прямого долга: 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41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6.25pt;height:31.5pt" o:ole="">
            <v:imagedata r:id="rId8" o:title=""/>
          </v:shape>
          <o:OLEObject Type="Embed" ProgID="Equation.3" ShapeID="_x0000_i1025" DrawAspect="Content" ObjectID="_1611995333" r:id="rId9"/>
        </w:objec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position w:val="-2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Отношение стоимости прямого долга к уровню ключевой ставки Банка России:</w:t>
      </w:r>
      <w:r>
        <w:rPr>
          <w:rFonts w:ascii="Times New Roman" w:hAnsi="Times New Roman" w:cs="Times New Roman"/>
          <w:color w:val="FF0000"/>
          <w:position w:val="-28"/>
          <w:sz w:val="24"/>
          <w:szCs w:val="24"/>
        </w:rPr>
        <w:object w:dxaOrig="1660" w:dyaOrig="660">
          <v:shape id="_x0000_i1026" type="#_x0000_t75" style="width:83.25pt;height:33pt" o:ole="">
            <v:imagedata r:id="rId10" o:title=""/>
          </v:shape>
          <o:OLEObject Type="Embed" ProgID="Equation.3" ShapeID="_x0000_i1026" DrawAspect="Content" ObjectID="_1611995334" r:id="rId11"/>
        </w:objec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position w:val="-28"/>
          <w:sz w:val="24"/>
          <w:szCs w:val="24"/>
        </w:rPr>
      </w:pPr>
      <w:r>
        <w:rPr>
          <w:rFonts w:ascii="Times New Roman" w:hAnsi="Times New Roman" w:cs="Times New Roman"/>
          <w:position w:val="-28"/>
          <w:sz w:val="24"/>
          <w:szCs w:val="24"/>
        </w:rPr>
        <w:t>(7,42% - среднегодовое значение уровня ключевой ставки Банка России)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3.3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Объем краткосрочного долга (со сроком гашения менее 3 лет), погашенного в 2018 году составил 50 500,00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доходов без МБТ составил 1 100 171,83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Отношение: 50 500,00 / 1 100 171,83 = 4,59%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highlight w:val="yellow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3.4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Объем остатков на едином счете бюджета составляет 74 628,45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расходов составляет 4 266 434,75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Отношение: 74 628,45 / 4 266 434,75  = 1,75%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(по форме 2, установленной постановлением №707)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 (индикаторов) результативности подпрограммы 1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«Повышение качества управления муниципальными финансами участниками бюджетного процесса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Северск»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2018 год </w:t>
      </w: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2</w:t>
      </w:r>
    </w:p>
    <w:tbl>
      <w:tblPr>
        <w:tblStyle w:val="a3"/>
        <w:tblW w:w="0" w:type="auto"/>
        <w:tblLayout w:type="fixed"/>
        <w:tblLook w:val="04A0"/>
      </w:tblPr>
      <w:tblGrid>
        <w:gridCol w:w="540"/>
        <w:gridCol w:w="4388"/>
        <w:gridCol w:w="1417"/>
        <w:gridCol w:w="2127"/>
        <w:gridCol w:w="1417"/>
        <w:gridCol w:w="1276"/>
        <w:gridCol w:w="1701"/>
        <w:gridCol w:w="2376"/>
      </w:tblGrid>
      <w:tr>
        <w:tc>
          <w:tcPr>
            <w:tcW w:w="540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88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 подпрограммы 1</w:t>
            </w: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подпрограммы 1</w:t>
            </w:r>
          </w:p>
        </w:tc>
        <w:tc>
          <w:tcPr>
            <w:tcW w:w="2376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>
        <w:tc>
          <w:tcPr>
            <w:tcW w:w="540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реализации, предшествующий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(2017)</w:t>
            </w:r>
          </w:p>
        </w:tc>
        <w:tc>
          <w:tcPr>
            <w:tcW w:w="4394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37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достижения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(факт/план)</w:t>
            </w:r>
          </w:p>
        </w:tc>
        <w:tc>
          <w:tcPr>
            <w:tcW w:w="237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7=6/5</w:t>
            </w:r>
          </w:p>
        </w:tc>
        <w:tc>
          <w:tcPr>
            <w:tcW w:w="23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2" w:type="dxa"/>
            <w:gridSpan w:val="7"/>
            <w:shd w:val="clear" w:color="auto" w:fill="FBD4B4" w:themeFill="accent6" w:themeFillTint="66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Задача. 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88" w:type="dxa"/>
          </w:tcPr>
          <w:p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задолженности по арендным платежам (без учета пеней) в общем объеме поступлений  по арендным платежам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388" w:type="dxa"/>
          </w:tcPr>
          <w:p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заседаний Комиссии по мобилизации доходов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388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приглашенных на Комиссию по мобилизации доходов должников (неплательщиков)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388" w:type="dxa"/>
          </w:tcPr>
          <w:p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Целевой показатель 4 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муниципальных учреждений, выполнивших муниципальное задание  полном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 заданными показателями качества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388" w:type="dxa"/>
          </w:tcPr>
          <w:p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5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Минимальный объем охваченных контрольными мероприятиями средств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 в общем объеме бюджетных ассигнований, являющихся объектом муниципального финансового контроля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27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1701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2,36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достижении значений целевых показателей (индикаторов) результативности подпрограммы 2 </w:t>
      </w:r>
    </w:p>
    <w:p>
      <w:pPr>
        <w:spacing w:after="0" w:line="2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Повышение качества и уровня автоматизации бюджетного процесса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ЗАТО Северск</w:t>
      </w:r>
      <w:r>
        <w:rPr>
          <w:rFonts w:ascii="Times New Roman" w:hAnsi="Times New Roman" w:cs="Times New Roman"/>
          <w:sz w:val="24"/>
          <w:szCs w:val="24"/>
        </w:rPr>
        <w:t>»</w:t>
      </w:r>
    </w:p>
    <w:p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 </w:t>
      </w:r>
    </w:p>
    <w:p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2018 год</w:t>
      </w: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3</w:t>
      </w:r>
    </w:p>
    <w:tbl>
      <w:tblPr>
        <w:tblStyle w:val="a3"/>
        <w:tblW w:w="0" w:type="auto"/>
        <w:tblLook w:val="04A0"/>
      </w:tblPr>
      <w:tblGrid>
        <w:gridCol w:w="540"/>
        <w:gridCol w:w="4388"/>
        <w:gridCol w:w="1417"/>
        <w:gridCol w:w="2127"/>
        <w:gridCol w:w="1417"/>
        <w:gridCol w:w="1276"/>
        <w:gridCol w:w="1701"/>
        <w:gridCol w:w="2376"/>
      </w:tblGrid>
      <w:tr>
        <w:tc>
          <w:tcPr>
            <w:tcW w:w="540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88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376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>
        <w:tc>
          <w:tcPr>
            <w:tcW w:w="54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реализации, предшествующий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(2017)</w:t>
            </w:r>
          </w:p>
        </w:tc>
        <w:tc>
          <w:tcPr>
            <w:tcW w:w="4394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37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достижения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(факт/план)</w:t>
            </w:r>
          </w:p>
        </w:tc>
        <w:tc>
          <w:tcPr>
            <w:tcW w:w="237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7=6/5</w:t>
            </w:r>
          </w:p>
        </w:tc>
        <w:tc>
          <w:tcPr>
            <w:tcW w:w="23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2" w:type="dxa"/>
            <w:gridSpan w:val="7"/>
            <w:shd w:val="clear" w:color="auto" w:fill="FBD4B4" w:themeFill="accent6" w:themeFillTint="66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Задача: 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rFonts w:ascii="Times New Roman" w:hAnsi="Times New Roman"/>
              </w:rPr>
              <w:t>территории</w:t>
            </w:r>
            <w:proofErr w:type="gramEnd"/>
            <w:r>
              <w:rPr>
                <w:rFonts w:ascii="Times New Roman" w:hAnsi="Times New Roman"/>
              </w:rPr>
              <w:t xml:space="preserve"> ЗАТО Северск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установленных обновлений на бухгалтерских и финансовых системах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АРМ, подключенных к общим информационным системам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учреждений, допустивших несвоевременное обновление информации на сайте bus.gov.ru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4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резервных баз данных и их хранение на автономных носителях информации, в год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5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размещенных «бюджетов для граждан» на официальном сайте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достижении значений целевых показателей (индикаторов) результативности подпрограммы 3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Обеспечение устойчивости </w:t>
      </w:r>
      <w:proofErr w:type="gramStart"/>
      <w:r>
        <w:rPr>
          <w:rFonts w:ascii="Times New Roman" w:hAnsi="Times New Roman"/>
          <w:sz w:val="24"/>
          <w:szCs w:val="24"/>
        </w:rPr>
        <w:t>бюджета</w:t>
      </w:r>
      <w:proofErr w:type="gramEnd"/>
      <w:r>
        <w:rPr>
          <w:rFonts w:ascii="Times New Roman" w:hAnsi="Times New Roman"/>
          <w:sz w:val="24"/>
          <w:szCs w:val="24"/>
        </w:rPr>
        <w:t xml:space="preserve"> ЗАТО Северск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2018 год</w:t>
      </w: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4</w:t>
      </w:r>
    </w:p>
    <w:tbl>
      <w:tblPr>
        <w:tblStyle w:val="a3"/>
        <w:tblW w:w="0" w:type="auto"/>
        <w:tblLook w:val="04A0"/>
      </w:tblPr>
      <w:tblGrid>
        <w:gridCol w:w="540"/>
        <w:gridCol w:w="4388"/>
        <w:gridCol w:w="1417"/>
        <w:gridCol w:w="2127"/>
        <w:gridCol w:w="1417"/>
        <w:gridCol w:w="1276"/>
        <w:gridCol w:w="1701"/>
        <w:gridCol w:w="2376"/>
      </w:tblGrid>
      <w:tr>
        <w:tc>
          <w:tcPr>
            <w:tcW w:w="540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88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376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>
        <w:tc>
          <w:tcPr>
            <w:tcW w:w="54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реализации, предшествующий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(2017)</w:t>
            </w:r>
          </w:p>
        </w:tc>
        <w:tc>
          <w:tcPr>
            <w:tcW w:w="4394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37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достижения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(факт/план)</w:t>
            </w:r>
          </w:p>
        </w:tc>
        <w:tc>
          <w:tcPr>
            <w:tcW w:w="237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7=6/5</w:t>
            </w:r>
          </w:p>
        </w:tc>
        <w:tc>
          <w:tcPr>
            <w:tcW w:w="23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2" w:type="dxa"/>
            <w:gridSpan w:val="7"/>
            <w:shd w:val="clear" w:color="auto" w:fill="FBD4B4" w:themeFill="accent6" w:themeFillTint="66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Задача: Эффективное управление муниципальным </w:t>
            </w:r>
            <w:proofErr w:type="gramStart"/>
            <w:r>
              <w:rPr>
                <w:rFonts w:ascii="Times New Roman" w:hAnsi="Times New Roman"/>
              </w:rPr>
              <w:t>долгом</w:t>
            </w:r>
            <w:proofErr w:type="gramEnd"/>
            <w:r>
              <w:rPr>
                <w:rFonts w:ascii="Times New Roman" w:hAnsi="Times New Roman"/>
              </w:rPr>
              <w:t xml:space="preserve"> ЗАТО Северск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стоимости прямого долга к уровню ключевой ставки Банка России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27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701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1,99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просроченных долговых обязательств в объеме долга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Отношение объема краткосрочного долга к доходам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 без учета безвозмездных поступлений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2,10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4,59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1,96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Целевой показатель 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Отношение суммы остатков на едином счете бюджета к общей сумме расходов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 Оценка степени достижения целей и решения задач муниципальной программы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п.8 Порядка степень достижения целей и решения задач муниципальной программы определяется по формуле:</w:t>
      </w:r>
    </w:p>
    <w:p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position w:val="-72"/>
          <w:sz w:val="24"/>
          <w:szCs w:val="24"/>
        </w:rPr>
        <w:object w:dxaOrig="3780" w:dyaOrig="1560">
          <v:shape id="_x0000_i1027" type="#_x0000_t75" style="width:189pt;height:78pt" o:ole="">
            <v:imagedata r:id="rId12" o:title=""/>
          </v:shape>
          <o:OLEObject Type="Embed" ProgID="Equation.3" ShapeID="_x0000_i1027" DrawAspect="Content" ObjectID="_1611995335" r:id="rId13"/>
        </w:objec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 данным таблиц 1 – 4 показатель </w:t>
      </w:r>
      <w:r>
        <w:rPr>
          <w:rFonts w:ascii="Times New Roman" w:hAnsi="Times New Roman" w:cs="Times New Roman"/>
          <w:b/>
          <w:position w:val="-14"/>
        </w:rPr>
        <w:object w:dxaOrig="660" w:dyaOrig="380">
          <v:shape id="_x0000_i1028" type="#_x0000_t75" style="width:33pt;height:18.75pt" o:ole="">
            <v:imagedata r:id="rId14" o:title=""/>
          </v:shape>
          <o:OLEObject Type="Embed" ProgID="Equation.3" ShapeID="_x0000_i1028" DrawAspect="Content" ObjectID="_1611995336" r:id="rId15"/>
        </w:object>
      </w:r>
      <w:r>
        <w:rPr>
          <w:rFonts w:ascii="Times New Roman" w:hAnsi="Times New Roman" w:cs="Times New Roman"/>
          <w:b/>
        </w:rPr>
        <w:t>1,20.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Согласно п.9 Порядка, значение показателя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1600" w:dyaOrig="380">
          <v:shape id="_x0000_i1029" type="#_x0000_t75" style="width:80.25pt;height:18.75pt" o:ole="">
            <v:imagedata r:id="rId16" o:title=""/>
          </v:shape>
          <o:OLEObject Type="Embed" ProgID="Equation.3" ShapeID="_x0000_i1029" DrawAspect="Content" ObjectID="_1611995337" r:id="rId17"/>
        </w:object>
      </w:r>
      <w:r>
        <w:rPr>
          <w:rFonts w:ascii="Times New Roman" w:hAnsi="Times New Roman" w:cs="Times New Roman"/>
          <w:sz w:val="24"/>
          <w:szCs w:val="24"/>
        </w:rPr>
        <w:t xml:space="preserve"> по шкале оценки степени достижения целей и решения задач свидетельствует </w:t>
      </w:r>
      <w:r>
        <w:rPr>
          <w:rFonts w:ascii="Times New Roman" w:hAnsi="Times New Roman" w:cs="Times New Roman"/>
          <w:b/>
          <w:sz w:val="24"/>
          <w:szCs w:val="24"/>
        </w:rPr>
        <w:t>о высокой результативности.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 </w:t>
      </w:r>
      <w:r>
        <w:rPr>
          <w:rFonts w:ascii="Times New Roman" w:hAnsi="Times New Roman" w:cs="Times New Roman"/>
          <w:b/>
          <w:sz w:val="24"/>
          <w:szCs w:val="24"/>
        </w:rPr>
        <w:t>Анализ фактических и плановых объемов финансирования на реализацию муниципальной программы</w:t>
      </w: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(по форме 3, установленной постановлением №707)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финансировании реализации муниципальной программы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 за 2018 год</w:t>
      </w: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5</w:t>
      </w:r>
    </w:p>
    <w:tbl>
      <w:tblPr>
        <w:tblStyle w:val="a3"/>
        <w:tblW w:w="0" w:type="auto"/>
        <w:tblLook w:val="04A0"/>
      </w:tblPr>
      <w:tblGrid>
        <w:gridCol w:w="540"/>
        <w:gridCol w:w="8924"/>
        <w:gridCol w:w="2126"/>
        <w:gridCol w:w="1985"/>
        <w:gridCol w:w="1667"/>
      </w:tblGrid>
      <w:t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892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 подпрограммы, ВЦП, основного мероприятия, мероприятия</w:t>
            </w:r>
          </w:p>
        </w:tc>
        <w:tc>
          <w:tcPr>
            <w:tcW w:w="577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(тыс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</w:tr>
      <w:tr>
        <w:tc>
          <w:tcPr>
            <w:tcW w:w="540" w:type="dxa"/>
            <w:vMerge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4" w:type="dxa"/>
            <w:vMerge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Утвержденные расходы на реализацию программы в отчетном году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расходы на реализацию программы в отчетном году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освоения средств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«Повышение качества управления муниципальными финансами участниками бюджетного процесса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Северск», всего, в том числе: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ВЦП «Повышение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«Повышение качества и уровня автоматизации бюджетного процесса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Северск», всего, в том числе: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1 224,50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1 224, 51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ВЦП «Совершенствование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1 224,50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1 224, 51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«Обеспечение устойчивости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Северск», всего, в том числе: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ВЦП «Эффективное управление муниципальным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долгом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24 235,52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24 647,75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34 546,94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34 134,70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99%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соответствии с п.10 Порядка оценка эффективности освоения средств муниципальной программы определяется по формуле: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30"/>
          <w:sz w:val="24"/>
          <w:szCs w:val="24"/>
        </w:rPr>
        <w:object w:dxaOrig="1140" w:dyaOrig="680">
          <v:shape id="_x0000_i1030" type="#_x0000_t75" style="width:57pt;height:33.75pt" o:ole="">
            <v:imagedata r:id="rId18" o:title=""/>
          </v:shape>
          <o:OLEObject Type="Embed" ProgID="Equation.3" ShapeID="_x0000_i1030" DrawAspect="Content" ObjectID="_1611995338" r:id="rId19"/>
        </w:objec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 данным таблицы 5 показатель </w:t>
      </w:r>
      <w:r>
        <w:rPr>
          <w:rFonts w:ascii="Times New Roman" w:hAnsi="Times New Roman" w:cs="Times New Roman"/>
          <w:b/>
          <w:position w:val="-12"/>
        </w:rPr>
        <w:object w:dxaOrig="660" w:dyaOrig="360">
          <v:shape id="_x0000_i1031" type="#_x0000_t75" style="width:33pt;height:18pt" o:ole="">
            <v:imagedata r:id="rId20" o:title=""/>
          </v:shape>
          <o:OLEObject Type="Embed" ProgID="Equation.3" ShapeID="_x0000_i1031" DrawAspect="Content" ObjectID="_1611995339" r:id="rId21"/>
        </w:object>
      </w:r>
      <w:r>
        <w:rPr>
          <w:rFonts w:ascii="Times New Roman" w:hAnsi="Times New Roman" w:cs="Times New Roman"/>
          <w:b/>
        </w:rPr>
        <w:t>0,99.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Согласно п.9 Порядка, значение показателя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1579" w:dyaOrig="360">
          <v:shape id="_x0000_i1032" type="#_x0000_t75" style="width:78.75pt;height:18pt" o:ole="">
            <v:imagedata r:id="rId22" o:title=""/>
          </v:shape>
          <o:OLEObject Type="Embed" ProgID="Equation.3" ShapeID="_x0000_i1032" DrawAspect="Content" ObjectID="_1611995340" r:id="rId23"/>
        </w:object>
      </w:r>
      <w:r>
        <w:rPr>
          <w:rFonts w:ascii="Times New Roman" w:hAnsi="Times New Roman" w:cs="Times New Roman"/>
          <w:sz w:val="24"/>
          <w:szCs w:val="24"/>
        </w:rPr>
        <w:t xml:space="preserve"> по шкале эффективности освоения средств муниципальной программы свидетельствует </w:t>
      </w:r>
      <w:r>
        <w:rPr>
          <w:rFonts w:ascii="Times New Roman" w:hAnsi="Times New Roman" w:cs="Times New Roman"/>
          <w:b/>
          <w:sz w:val="24"/>
          <w:szCs w:val="24"/>
        </w:rPr>
        <w:t>о полном освоении.</w:t>
      </w:r>
    </w:p>
    <w:p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 xml:space="preserve">  Анализ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эффективности реализации муниципальной программы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п.12 и таблицей 3 Порядка эффективность реализации муниципальной программы оценивается как </w:t>
      </w:r>
      <w:r>
        <w:rPr>
          <w:rFonts w:ascii="Times New Roman" w:hAnsi="Times New Roman" w:cs="Times New Roman"/>
          <w:b/>
          <w:sz w:val="24"/>
          <w:szCs w:val="24"/>
        </w:rPr>
        <w:t>высокая</w:t>
      </w:r>
      <w:r>
        <w:rPr>
          <w:rFonts w:ascii="Times New Roman" w:hAnsi="Times New Roman" w:cs="Times New Roman"/>
          <w:sz w:val="24"/>
          <w:szCs w:val="24"/>
        </w:rPr>
        <w:t xml:space="preserve"> (оценка – 5).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Е.А.Холоша</w:t>
      </w:r>
      <w:proofErr w:type="spellEnd"/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77 38 60</w:t>
      </w:r>
    </w:p>
    <w:sectPr>
      <w:pgSz w:w="16838" w:h="11906" w:orient="landscape"/>
      <w:pgMar w:top="993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pPr>
        <w:spacing w:after="0" w:line="240" w:lineRule="auto"/>
      </w:pPr>
      <w:r>
        <w:separator/>
      </w:r>
    </w:p>
  </w:endnote>
  <w:endnote w:type="continuationSeparator" w:id="1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pPr>
        <w:spacing w:after="0" w:line="240" w:lineRule="auto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06B5F"/>
    <w:multiLevelType w:val="hybridMultilevel"/>
    <w:tmpl w:val="1D3E42A0"/>
    <w:lvl w:ilvl="0" w:tplc="16E21F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CBF8D-C429-4B6A-8455-6ACB6AE93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9</Pages>
  <Words>2038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Холоша Е.А.</cp:lastModifiedBy>
  <cp:revision>58</cp:revision>
  <cp:lastPrinted>2019-02-13T03:12:00Z</cp:lastPrinted>
  <dcterms:created xsi:type="dcterms:W3CDTF">2016-02-16T10:13:00Z</dcterms:created>
  <dcterms:modified xsi:type="dcterms:W3CDTF">2019-02-18T04:42:00Z</dcterms:modified>
</cp:coreProperties>
</file>